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0D5D" w14:textId="77777777" w:rsidR="000B3420" w:rsidRPr="000B3420" w:rsidRDefault="000B3420" w:rsidP="000B3420">
      <w:pPr>
        <w:spacing w:after="160" w:line="259" w:lineRule="auto"/>
        <w:rPr>
          <w:rFonts w:ascii="Arial" w:eastAsiaTheme="majorEastAsia" w:hAnsi="Arial" w:cs="Arial"/>
          <w:color w:val="4472C4" w:themeColor="accent1"/>
          <w:sz w:val="32"/>
          <w:szCs w:val="32"/>
        </w:rPr>
      </w:pPr>
      <w:bookmarkStart w:id="0" w:name="_Toc137726556"/>
      <w:bookmarkStart w:id="1" w:name="_Toc139391461"/>
      <w:r w:rsidRPr="000B3420">
        <w:rPr>
          <w:rFonts w:ascii="Arial" w:hAnsi="Arial" w:cs="Arial"/>
          <w:color w:val="4472C4" w:themeColor="accent1"/>
          <w:sz w:val="32"/>
          <w:szCs w:val="32"/>
        </w:rPr>
        <w:t xml:space="preserve">Bijlage 1-  </w:t>
      </w:r>
      <w:bookmarkEnd w:id="0"/>
      <w:r w:rsidRPr="000B3420">
        <w:rPr>
          <w:rFonts w:ascii="Arial" w:hAnsi="Arial" w:cs="Arial"/>
          <w:color w:val="4472C4" w:themeColor="accent1"/>
          <w:sz w:val="32"/>
          <w:szCs w:val="32"/>
        </w:rPr>
        <w:t>Omgangsregels Baptistengemeente De Bron Almelo</w:t>
      </w:r>
      <w:bookmarkEnd w:id="1"/>
    </w:p>
    <w:p w14:paraId="6260A384" w14:textId="77777777" w:rsidR="000B3420" w:rsidRPr="000B3420" w:rsidRDefault="000B3420" w:rsidP="000B3420">
      <w:pPr>
        <w:jc w:val="both"/>
        <w:rPr>
          <w:rFonts w:ascii="Arial" w:eastAsiaTheme="minorEastAsia" w:hAnsi="Arial" w:cs="Arial"/>
          <w:sz w:val="24"/>
          <w:szCs w:val="24"/>
        </w:rPr>
      </w:pPr>
    </w:p>
    <w:p w14:paraId="306DED2D" w14:textId="420D11C9" w:rsidR="000B3420" w:rsidRPr="000B3420" w:rsidRDefault="000B3420" w:rsidP="000B3420">
      <w:pPr>
        <w:jc w:val="both"/>
        <w:rPr>
          <w:rFonts w:ascii="Arial" w:eastAsiaTheme="minorEastAsia" w:hAnsi="Arial" w:cs="Arial"/>
          <w:color w:val="FF0000"/>
          <w:sz w:val="24"/>
          <w:szCs w:val="24"/>
        </w:rPr>
      </w:pPr>
      <w:r w:rsidRPr="000B3420">
        <w:rPr>
          <w:rFonts w:ascii="Arial" w:eastAsiaTheme="minorEastAsia" w:hAnsi="Arial" w:cs="Arial"/>
          <w:sz w:val="24"/>
          <w:szCs w:val="24"/>
        </w:rPr>
        <w:t>Iedereen die de kinder</w:t>
      </w:r>
      <w:r w:rsidR="00340B61">
        <w:rPr>
          <w:rFonts w:ascii="Arial" w:eastAsiaTheme="minorEastAsia" w:hAnsi="Arial" w:cs="Arial"/>
          <w:sz w:val="24"/>
          <w:szCs w:val="24"/>
        </w:rPr>
        <w:t>-,</w:t>
      </w:r>
      <w:r w:rsidRPr="000B3420">
        <w:rPr>
          <w:rFonts w:ascii="Arial" w:eastAsiaTheme="minorEastAsia" w:hAnsi="Arial" w:cs="Arial"/>
          <w:sz w:val="24"/>
          <w:szCs w:val="24"/>
        </w:rPr>
        <w:t xml:space="preserve"> jeugd</w:t>
      </w:r>
      <w:r w:rsidR="00340B61">
        <w:rPr>
          <w:rFonts w:ascii="Arial" w:eastAsiaTheme="minorEastAsia" w:hAnsi="Arial" w:cs="Arial"/>
          <w:sz w:val="24"/>
          <w:szCs w:val="24"/>
        </w:rPr>
        <w:t xml:space="preserve">-, en andere </w:t>
      </w:r>
      <w:r w:rsidRPr="000B3420">
        <w:rPr>
          <w:rFonts w:ascii="Arial" w:eastAsiaTheme="minorEastAsia" w:hAnsi="Arial" w:cs="Arial"/>
          <w:sz w:val="24"/>
          <w:szCs w:val="24"/>
        </w:rPr>
        <w:t>activiteiten van de Baptistengemeente De Bron Almelo bezoekt houdt zich aan de</w:t>
      </w:r>
      <w:r w:rsidR="00340B61">
        <w:rPr>
          <w:rFonts w:ascii="Arial" w:eastAsiaTheme="minorEastAsia" w:hAnsi="Arial" w:cs="Arial"/>
          <w:sz w:val="24"/>
          <w:szCs w:val="24"/>
        </w:rPr>
        <w:t xml:space="preserve"> </w:t>
      </w:r>
      <w:r w:rsidRPr="000B3420">
        <w:rPr>
          <w:rFonts w:ascii="Arial" w:eastAsiaTheme="minorEastAsia" w:hAnsi="Arial" w:cs="Arial"/>
          <w:sz w:val="24"/>
          <w:szCs w:val="24"/>
        </w:rPr>
        <w:t xml:space="preserve">omgangsregels zoals die hieronder zijn opgeschreven. </w:t>
      </w:r>
      <w:r w:rsidRPr="000B3420">
        <w:rPr>
          <w:rFonts w:ascii="Arial" w:eastAsiaTheme="minorEastAsia" w:hAnsi="Arial" w:cs="Arial"/>
          <w:color w:val="FF0000"/>
          <w:sz w:val="24"/>
          <w:szCs w:val="24"/>
        </w:rPr>
        <w:t xml:space="preserve"> </w:t>
      </w:r>
    </w:p>
    <w:p w14:paraId="0430923F" w14:textId="77777777" w:rsidR="000B3420" w:rsidRPr="000B3420" w:rsidRDefault="000B3420" w:rsidP="000B3420">
      <w:pPr>
        <w:jc w:val="both"/>
        <w:rPr>
          <w:rFonts w:ascii="Arial" w:eastAsiaTheme="minorEastAsia" w:hAnsi="Arial" w:cs="Arial"/>
          <w:sz w:val="24"/>
          <w:szCs w:val="24"/>
        </w:rPr>
      </w:pPr>
      <w:r w:rsidRPr="000B3420">
        <w:rPr>
          <w:rFonts w:ascii="Arial" w:eastAsiaTheme="minorEastAsia" w:hAnsi="Arial" w:cs="Arial"/>
          <w:sz w:val="24"/>
          <w:szCs w:val="24"/>
        </w:rPr>
        <w:t xml:space="preserve"> </w:t>
      </w:r>
    </w:p>
    <w:p w14:paraId="56672585" w14:textId="4F752303" w:rsidR="000B3420" w:rsidRPr="000B3420" w:rsidRDefault="000B3420" w:rsidP="000B3420">
      <w:pPr>
        <w:jc w:val="both"/>
        <w:rPr>
          <w:rFonts w:ascii="Arial" w:eastAsiaTheme="minorEastAsia" w:hAnsi="Arial" w:cs="Arial"/>
          <w:sz w:val="24"/>
          <w:szCs w:val="24"/>
        </w:rPr>
      </w:pPr>
      <w:r w:rsidRPr="000B3420">
        <w:rPr>
          <w:rFonts w:ascii="Arial" w:eastAsiaTheme="minorEastAsia" w:hAnsi="Arial" w:cs="Arial"/>
          <w:sz w:val="24"/>
          <w:szCs w:val="24"/>
        </w:rPr>
        <w:t xml:space="preserve">Wij vinden afspraken over de manier van omgaan met elkaar belangrijk, omdat iedereen zich prettig  en veilig moet kunnen voelen. Dit kan alleen als je elkaar in je waarde laat en elkaar met respect  behandelt. Dit betekent dat wij in ons </w:t>
      </w:r>
      <w:r w:rsidR="00340B61">
        <w:rPr>
          <w:rFonts w:ascii="Arial" w:eastAsiaTheme="minorEastAsia" w:hAnsi="Arial" w:cs="Arial"/>
          <w:sz w:val="24"/>
          <w:szCs w:val="24"/>
        </w:rPr>
        <w:t>gemeentewerk</w:t>
      </w:r>
      <w:r w:rsidRPr="000B3420">
        <w:rPr>
          <w:rFonts w:ascii="Arial" w:eastAsiaTheme="minorEastAsia" w:hAnsi="Arial" w:cs="Arial"/>
          <w:sz w:val="24"/>
          <w:szCs w:val="24"/>
        </w:rPr>
        <w:t xml:space="preserve"> alle vormen van ongelijkwaardige behandeling zoals</w:t>
      </w:r>
      <w:r w:rsidR="00340B61">
        <w:rPr>
          <w:rFonts w:ascii="Arial" w:eastAsiaTheme="minorEastAsia" w:hAnsi="Arial" w:cs="Arial"/>
          <w:sz w:val="24"/>
          <w:szCs w:val="24"/>
        </w:rPr>
        <w:t xml:space="preserve"> </w:t>
      </w:r>
      <w:r w:rsidRPr="000B3420">
        <w:rPr>
          <w:rFonts w:ascii="Arial" w:eastAsiaTheme="minorEastAsia" w:hAnsi="Arial" w:cs="Arial"/>
          <w:sz w:val="24"/>
          <w:szCs w:val="24"/>
        </w:rPr>
        <w:t xml:space="preserve">pesten, machtsmisbruik, discriminerende, racistische, seksistische of (seksueel) intimiderende  gedragingen of opmerkingen, of het hiertoe aanzetten ontoelaatbaar vinden. </w:t>
      </w:r>
    </w:p>
    <w:p w14:paraId="4E1746B8" w14:textId="77777777" w:rsidR="000B3420" w:rsidRPr="000B3420" w:rsidRDefault="000B3420" w:rsidP="000B3420">
      <w:pPr>
        <w:jc w:val="both"/>
        <w:rPr>
          <w:rFonts w:ascii="Arial" w:eastAsiaTheme="minorEastAsia" w:hAnsi="Arial" w:cs="Arial"/>
          <w:sz w:val="24"/>
          <w:szCs w:val="24"/>
        </w:rPr>
      </w:pPr>
    </w:p>
    <w:p w14:paraId="6E00CDCB" w14:textId="77777777" w:rsidR="000B3420" w:rsidRPr="000B3420" w:rsidRDefault="000B3420" w:rsidP="000B3420">
      <w:pPr>
        <w:jc w:val="both"/>
        <w:rPr>
          <w:rFonts w:ascii="Arial" w:eastAsiaTheme="minorEastAsia" w:hAnsi="Arial" w:cs="Arial"/>
          <w:sz w:val="24"/>
          <w:szCs w:val="24"/>
        </w:rPr>
      </w:pPr>
      <w:r w:rsidRPr="000B3420">
        <w:rPr>
          <w:rFonts w:ascii="Arial" w:eastAsiaTheme="minorEastAsia" w:hAnsi="Arial" w:cs="Arial"/>
          <w:sz w:val="24"/>
          <w:szCs w:val="24"/>
        </w:rPr>
        <w:t xml:space="preserve">Wij vragen van alle medewerkers, ambtsdragers, betaalde krachten, kinderen, jongeren, hun ouders  of andere bezoekers dat zij meewerken aan het naleven van de omgangsregels. Niet alle zaken die  anderen kunnen kwetsen, kunnen we in regels verwoorden. Dit wil natuurlijk niet zeggen dat als het  niet genoemd is, maar een ander wel kwetst of een onveilig gevoel geeft, dit toelaatbaar is. </w:t>
      </w:r>
    </w:p>
    <w:p w14:paraId="2FE3D37E" w14:textId="77777777" w:rsidR="000B3420" w:rsidRPr="000B3420" w:rsidRDefault="000B3420" w:rsidP="000B3420">
      <w:pPr>
        <w:jc w:val="both"/>
        <w:rPr>
          <w:rFonts w:ascii="Arial" w:eastAsiaTheme="minorEastAsia" w:hAnsi="Arial" w:cs="Arial"/>
          <w:sz w:val="24"/>
          <w:szCs w:val="24"/>
        </w:rPr>
      </w:pPr>
    </w:p>
    <w:p w14:paraId="52354E3B"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accepteer en respecteer de ander zoals hij is en discrimineer niet. Iedereen telt mee in de Baptistengemeente De Bron Almelo</w:t>
      </w:r>
    </w:p>
    <w:p w14:paraId="620715E2"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houd rekening met de grenzen die de ander aangeeft.</w:t>
      </w:r>
    </w:p>
    <w:p w14:paraId="44DF60E2"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zorg goed voor de ander en zijn/haar spullen.</w:t>
      </w:r>
    </w:p>
    <w:p w14:paraId="48949984"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maak op geen enkele wijze misbruik van mijn machtspositie.</w:t>
      </w:r>
    </w:p>
    <w:p w14:paraId="07D22783"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Ik scheld niet en maak geen gemene grappen of opmerkingen over anderen. </w:t>
      </w:r>
    </w:p>
    <w:p w14:paraId="244275CD"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negeer de ander niet.</w:t>
      </w:r>
    </w:p>
    <w:p w14:paraId="24AE0F91"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Ik doe niet mee aan pesten, uitlachen of roddelen. </w:t>
      </w:r>
    </w:p>
    <w:p w14:paraId="4497FC33"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Ik vecht niet, maak geen gebruik van geweld, ik bedreig de ander niet. </w:t>
      </w:r>
    </w:p>
    <w:p w14:paraId="15B31828"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kom niet ongewenst dichtbij en raak de ander niet tegen zijn of haar wil aan.</w:t>
      </w:r>
    </w:p>
    <w:p w14:paraId="12B27207"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Ik geef de ander geen ongewenste seksueel getinte aandacht. </w:t>
      </w:r>
    </w:p>
    <w:p w14:paraId="62CD328F"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Ik stel geen ongepaste vragen en maak geen ongewenste opmerkingen over iemands  persoonlijk leven of uiterlijk. </w:t>
      </w:r>
    </w:p>
    <w:p w14:paraId="751984BE"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Als iemand mij hindert of lastig valt vraag ik hem/haar daar mee te stoppen, als dat niet helpt  vraag ik om hulp. </w:t>
      </w:r>
    </w:p>
    <w:p w14:paraId="6F066355" w14:textId="77777777" w:rsidR="000B3420" w:rsidRPr="000B3420" w:rsidRDefault="000B3420" w:rsidP="000B3420">
      <w:pPr>
        <w:numPr>
          <w:ilvl w:val="0"/>
          <w:numId w:val="1"/>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Ik help anderen om zich ook aan de afspraken te houden en spreek degene die zich daar niet  aan houdt op aan en meldt dit zo nodig bij de een van de ouderlingen of vertrouwenspersoon.</w:t>
      </w:r>
    </w:p>
    <w:p w14:paraId="631DACE3" w14:textId="77777777" w:rsidR="000B3420" w:rsidRPr="000B3420" w:rsidRDefault="000B3420" w:rsidP="000B3420">
      <w:pPr>
        <w:jc w:val="both"/>
        <w:rPr>
          <w:rFonts w:ascii="Arial" w:eastAsiaTheme="minorEastAsia" w:hAnsi="Arial" w:cs="Arial"/>
          <w:sz w:val="24"/>
          <w:szCs w:val="24"/>
        </w:rPr>
      </w:pPr>
    </w:p>
    <w:p w14:paraId="047E67CB" w14:textId="7884BDCB" w:rsidR="000B3420" w:rsidRPr="000B3420" w:rsidRDefault="000B3420" w:rsidP="000B3420">
      <w:pPr>
        <w:jc w:val="both"/>
        <w:rPr>
          <w:rFonts w:ascii="Arial" w:eastAsiaTheme="minorEastAsia" w:hAnsi="Arial" w:cs="Arial"/>
          <w:sz w:val="24"/>
          <w:szCs w:val="24"/>
        </w:rPr>
      </w:pPr>
      <w:r w:rsidRPr="000B3420">
        <w:rPr>
          <w:rFonts w:ascii="Arial" w:eastAsiaTheme="minorEastAsia" w:hAnsi="Arial" w:cs="Arial"/>
          <w:sz w:val="24"/>
          <w:szCs w:val="24"/>
        </w:rPr>
        <w:t>In alle gevallen is het ook altijd mogelijk om contact op te nemen met de voorganger,  oudste</w:t>
      </w:r>
      <w:r w:rsidR="00340B61">
        <w:rPr>
          <w:rFonts w:ascii="Arial" w:eastAsiaTheme="minorEastAsia" w:hAnsi="Arial" w:cs="Arial"/>
          <w:sz w:val="24"/>
          <w:szCs w:val="24"/>
        </w:rPr>
        <w:t>n</w:t>
      </w:r>
      <w:r w:rsidRPr="000B3420">
        <w:rPr>
          <w:rFonts w:ascii="Arial" w:eastAsiaTheme="minorEastAsia" w:hAnsi="Arial" w:cs="Arial"/>
          <w:sz w:val="24"/>
          <w:szCs w:val="24"/>
        </w:rPr>
        <w:t xml:space="preserve"> en vertrouwenspersonen. </w:t>
      </w:r>
    </w:p>
    <w:p w14:paraId="1A576CA9" w14:textId="77777777" w:rsidR="000B3420" w:rsidRPr="000B3420" w:rsidRDefault="000B3420" w:rsidP="000B3420">
      <w:pPr>
        <w:keepNext/>
        <w:keepLines/>
        <w:spacing w:before="240" w:line="259" w:lineRule="auto"/>
        <w:outlineLvl w:val="0"/>
        <w:rPr>
          <w:rFonts w:asciiTheme="majorHAnsi" w:eastAsiaTheme="majorEastAsia" w:hAnsiTheme="majorHAnsi" w:cstheme="majorBidi"/>
          <w:b/>
          <w:bCs/>
          <w:color w:val="2F5496" w:themeColor="accent1" w:themeShade="BF"/>
          <w:sz w:val="32"/>
          <w:szCs w:val="32"/>
        </w:rPr>
      </w:pPr>
      <w:bookmarkStart w:id="2" w:name="_Toc139391462"/>
      <w:r w:rsidRPr="000B3420">
        <w:rPr>
          <w:rFonts w:asciiTheme="majorHAnsi" w:eastAsiaTheme="majorEastAsia" w:hAnsiTheme="majorHAnsi" w:cstheme="majorBidi"/>
          <w:b/>
          <w:bCs/>
          <w:color w:val="2F5496" w:themeColor="accent1" w:themeShade="BF"/>
          <w:sz w:val="32"/>
          <w:szCs w:val="32"/>
        </w:rPr>
        <w:lastRenderedPageBreak/>
        <w:t>Bijlage 2- gedragscode Baptistengemeente  De Bron Almelo</w:t>
      </w:r>
      <w:bookmarkEnd w:id="2"/>
    </w:p>
    <w:p w14:paraId="26F052E8" w14:textId="77777777" w:rsidR="000B3420" w:rsidRPr="000B3420" w:rsidRDefault="000B3420" w:rsidP="000B3420">
      <w:pPr>
        <w:rPr>
          <w:rFonts w:ascii="Arial" w:eastAsiaTheme="minorEastAsia" w:hAnsi="Arial" w:cs="Arial"/>
          <w:sz w:val="24"/>
          <w:szCs w:val="24"/>
        </w:rPr>
      </w:pPr>
    </w:p>
    <w:p w14:paraId="6CA95B01" w14:textId="77777777" w:rsidR="000B3420" w:rsidRPr="000B3420" w:rsidRDefault="000B3420" w:rsidP="000B3420">
      <w:pPr>
        <w:jc w:val="both"/>
        <w:rPr>
          <w:rFonts w:ascii="Arial" w:eastAsiaTheme="minorEastAsia" w:hAnsi="Arial" w:cs="Arial"/>
          <w:sz w:val="24"/>
          <w:szCs w:val="24"/>
        </w:rPr>
      </w:pPr>
      <w:bookmarkStart w:id="3" w:name="_Hlk152579051"/>
      <w:r w:rsidRPr="000B3420">
        <w:rPr>
          <w:rFonts w:ascii="Arial" w:eastAsiaTheme="minorEastAsia" w:hAnsi="Arial" w:cs="Arial"/>
          <w:sz w:val="24"/>
          <w:szCs w:val="24"/>
        </w:rPr>
        <w:t>Baptistengemeente De Bron Almelo</w:t>
      </w:r>
      <w:bookmarkEnd w:id="3"/>
      <w:r w:rsidRPr="000B3420">
        <w:rPr>
          <w:rFonts w:ascii="Arial" w:eastAsiaTheme="minorEastAsia" w:hAnsi="Arial" w:cs="Arial"/>
          <w:sz w:val="24"/>
          <w:szCs w:val="24"/>
        </w:rPr>
        <w:t xml:space="preserve"> vindt het belangrijk dat haar betaalde en onbetaalde kerkelijke medewerkers, voor zover ze direct met gemeenteleden werken, in hun gedrag rekening houden met wat wenselijk en toelaatbaar is. Baptistengemeente De Bron Almelo vindt het ook belangrijk dat ze zich bewust zijn van de kaders waarbinnen de omgang met anderen plaatsvindt. Als kerkelijk medewerker heb je namelijk vanwege je functie per definitie een ongelijkwaardige relatie met de ander en dat maakt die relatie kwetsbaar. Daarom is voor alle medewerkers een gedragscode opgesteld.</w:t>
      </w:r>
    </w:p>
    <w:p w14:paraId="38153591" w14:textId="77777777" w:rsidR="000B3420" w:rsidRPr="000B3420" w:rsidRDefault="000B3420" w:rsidP="000B3420">
      <w:pPr>
        <w:jc w:val="both"/>
        <w:rPr>
          <w:rFonts w:ascii="Arial" w:eastAsiaTheme="minorEastAsia" w:hAnsi="Arial" w:cs="Arial"/>
          <w:sz w:val="24"/>
          <w:szCs w:val="24"/>
        </w:rPr>
      </w:pPr>
      <w:r w:rsidRPr="000B3420">
        <w:rPr>
          <w:rFonts w:ascii="Arial" w:eastAsiaTheme="minorEastAsia" w:hAnsi="Arial" w:cs="Arial"/>
          <w:sz w:val="24"/>
          <w:szCs w:val="24"/>
        </w:rPr>
        <w:t>Wanneer je als vrijwilliger, stagiair(e) of als betaalde kracht je inzet in een kerkelijke functie, word je gevraagd deze gedragscode te onderschrijven. De ‘ander’ die hieronder genoemd wordt, is steeds degene met wie jij als medewerker in functie contact hebt.</w:t>
      </w:r>
    </w:p>
    <w:p w14:paraId="20B4CD6D" w14:textId="77777777" w:rsidR="000B3420" w:rsidRPr="000B3420" w:rsidRDefault="000B3420" w:rsidP="000B3420">
      <w:pPr>
        <w:jc w:val="both"/>
        <w:rPr>
          <w:rFonts w:ascii="Arial" w:eastAsiaTheme="minorEastAsia" w:hAnsi="Arial" w:cs="Arial"/>
          <w:sz w:val="24"/>
          <w:szCs w:val="24"/>
        </w:rPr>
      </w:pPr>
    </w:p>
    <w:p w14:paraId="53398897" w14:textId="77777777" w:rsidR="000B3420" w:rsidRPr="000B3420" w:rsidRDefault="000B3420" w:rsidP="000B3420">
      <w:pPr>
        <w:jc w:val="both"/>
        <w:rPr>
          <w:rFonts w:ascii="Arial" w:eastAsiaTheme="minorEastAsia" w:hAnsi="Arial" w:cs="Arial"/>
          <w:sz w:val="24"/>
          <w:szCs w:val="24"/>
        </w:rPr>
      </w:pPr>
      <w:r w:rsidRPr="000B3420">
        <w:rPr>
          <w:rFonts w:ascii="Arial" w:eastAsiaTheme="minorEastAsia" w:hAnsi="Arial" w:cs="Arial"/>
          <w:sz w:val="24"/>
          <w:szCs w:val="24"/>
        </w:rPr>
        <w:t>Door ondertekening verklaar je dat je de gedragscode gelezen hebt en naar deze gedragscode zult handelen.</w:t>
      </w:r>
    </w:p>
    <w:p w14:paraId="6139F952"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Jij bent van jouw kant altijd verantwoordelijk voor het zuiver houden van jouw deel van de relatie en je bent je dus bewust van jouw eigen houding en gedrag.</w:t>
      </w:r>
    </w:p>
    <w:p w14:paraId="081EB149"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zorgt naar vermogen voor een omgeving en sfeer waarin de ander zich veilig en gerespecteerd kan voelen.</w:t>
      </w:r>
    </w:p>
    <w:p w14:paraId="1C83DF9D"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bejegent de ander zodanig dat je de ander in zijn waarde laat.</w:t>
      </w:r>
    </w:p>
    <w:p w14:paraId="0A265651"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dringt niet verder door in het privéleven van de ander dan functioneel is.</w:t>
      </w:r>
    </w:p>
    <w:p w14:paraId="7BCA1174"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krijgt of geeft geen buitensporige (</w:t>
      </w:r>
      <w:proofErr w:type="spellStart"/>
      <w:r w:rsidRPr="000B3420">
        <w:rPr>
          <w:rFonts w:ascii="Arial" w:eastAsiaTheme="minorEastAsia" w:hAnsi="Arial" w:cs="Arial"/>
          <w:sz w:val="24"/>
          <w:szCs w:val="24"/>
        </w:rPr>
        <w:t>im</w:t>
      </w:r>
      <w:proofErr w:type="spellEnd"/>
      <w:r w:rsidRPr="000B3420">
        <w:rPr>
          <w:rFonts w:ascii="Arial" w:eastAsiaTheme="minorEastAsia" w:hAnsi="Arial" w:cs="Arial"/>
          <w:sz w:val="24"/>
          <w:szCs w:val="24"/>
        </w:rPr>
        <w:t>-)materiële geschenken.</w:t>
      </w:r>
    </w:p>
    <w:p w14:paraId="120C798B"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onthoudt je van elke vorm van seksuele benadering van de ander.</w:t>
      </w:r>
    </w:p>
    <w:p w14:paraId="039F7A47"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mag de ander niet op zo’n manier aanraken of bekijken, dat je kunt verwachten dat de ander dit als seksueel of erotisch kan ervaren.</w:t>
      </w:r>
    </w:p>
    <w:p w14:paraId="1822B2CA"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herkent en vermijdt situaties die je in verleiding kunnen brengen.</w:t>
      </w:r>
    </w:p>
    <w:p w14:paraId="06319D51"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draagt je taak over als je emotioneel teveel betrokken raakt.</w:t>
      </w:r>
    </w:p>
    <w:p w14:paraId="386CED2A"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Je bespreekt ongeveer één keer per jaar met collega medewerkers hoe je relaties zuiver houdt. Dit kan bijvoorbeeld op een aangeboden toerusting dag of tijdens een gesprek met de jeugdouderling.</w:t>
      </w:r>
    </w:p>
    <w:p w14:paraId="45D33BB3" w14:textId="77777777" w:rsidR="000B3420" w:rsidRPr="000B3420" w:rsidRDefault="000B3420" w:rsidP="000B3420">
      <w:pPr>
        <w:numPr>
          <w:ilvl w:val="0"/>
          <w:numId w:val="2"/>
        </w:numPr>
        <w:spacing w:after="160" w:line="259" w:lineRule="auto"/>
        <w:jc w:val="both"/>
        <w:rPr>
          <w:rFonts w:ascii="Arial" w:eastAsiaTheme="minorEastAsia" w:hAnsi="Arial" w:cs="Arial"/>
          <w:sz w:val="24"/>
          <w:szCs w:val="24"/>
        </w:rPr>
      </w:pPr>
      <w:r w:rsidRPr="000B3420">
        <w:rPr>
          <w:rFonts w:ascii="Arial" w:eastAsiaTheme="minorEastAsia" w:hAnsi="Arial" w:cs="Arial"/>
          <w:sz w:val="24"/>
          <w:szCs w:val="24"/>
        </w:rPr>
        <w:t xml:space="preserve">Je meldt, als je bij een ander gedrag signaleert dat niet klopt met deze gedragscode of als je seksueel misbruik vermoedt, dit bij de daarvoor door de raad aangewezen personen </w:t>
      </w:r>
      <w:bookmarkStart w:id="4" w:name="_Hlk152579565"/>
      <w:r w:rsidRPr="000B3420">
        <w:rPr>
          <w:rFonts w:ascii="Arial" w:eastAsiaTheme="minorEastAsia" w:hAnsi="Arial" w:cs="Arial"/>
          <w:sz w:val="24"/>
          <w:szCs w:val="24"/>
        </w:rPr>
        <w:t>(jeugd oudste, vertrouwenspersonen of voorganger).</w:t>
      </w:r>
    </w:p>
    <w:bookmarkEnd w:id="4"/>
    <w:p w14:paraId="53A61AE4" w14:textId="667DC120" w:rsidR="000B3420" w:rsidRPr="000B3420" w:rsidRDefault="000B3420" w:rsidP="000B3420">
      <w:pPr>
        <w:numPr>
          <w:ilvl w:val="0"/>
          <w:numId w:val="2"/>
        </w:numPr>
        <w:spacing w:after="160" w:line="259" w:lineRule="auto"/>
        <w:contextualSpacing/>
        <w:rPr>
          <w:rFonts w:ascii="Arial" w:eastAsiaTheme="minorEastAsia" w:hAnsi="Arial" w:cs="Arial"/>
          <w:sz w:val="24"/>
          <w:szCs w:val="24"/>
        </w:rPr>
      </w:pPr>
      <w:r w:rsidRPr="000B3420">
        <w:rPr>
          <w:rFonts w:ascii="Arial" w:hAnsi="Arial" w:cs="Arial"/>
          <w:sz w:val="24"/>
          <w:szCs w:val="24"/>
        </w:rPr>
        <w:t xml:space="preserve">In die gevallen waar de gedragscode niet voorziet, zoek je daarover contact met de daarvoor door de raad aangewezen personen </w:t>
      </w:r>
      <w:r w:rsidRPr="000B3420">
        <w:rPr>
          <w:rFonts w:ascii="Arial" w:eastAsiaTheme="minorEastAsia" w:hAnsi="Arial" w:cs="Arial"/>
          <w:sz w:val="24"/>
          <w:szCs w:val="24"/>
        </w:rPr>
        <w:t xml:space="preserve">(jeugd oudste, </w:t>
      </w:r>
      <w:r w:rsidR="00340B61">
        <w:rPr>
          <w:rFonts w:ascii="Arial" w:eastAsiaTheme="minorEastAsia" w:hAnsi="Arial" w:cs="Arial"/>
          <w:sz w:val="24"/>
          <w:szCs w:val="24"/>
        </w:rPr>
        <w:t xml:space="preserve">oudsten, </w:t>
      </w:r>
      <w:r w:rsidRPr="000B3420">
        <w:rPr>
          <w:rFonts w:ascii="Arial" w:eastAsiaTheme="minorEastAsia" w:hAnsi="Arial" w:cs="Arial"/>
          <w:sz w:val="24"/>
          <w:szCs w:val="24"/>
        </w:rPr>
        <w:t>vertrouwenspersonen of voorganger).</w:t>
      </w:r>
    </w:p>
    <w:p w14:paraId="4F2CB0C8" w14:textId="605DA7FA" w:rsidR="00B940DB" w:rsidRPr="00FF16CA" w:rsidRDefault="00B940DB" w:rsidP="00FF16CA">
      <w:pPr>
        <w:keepNext/>
        <w:keepLines/>
        <w:spacing w:before="240" w:line="259" w:lineRule="auto"/>
        <w:jc w:val="both"/>
        <w:outlineLvl w:val="0"/>
        <w:rPr>
          <w:rFonts w:asciiTheme="majorHAnsi" w:eastAsiaTheme="majorEastAsia" w:hAnsiTheme="majorHAnsi" w:cstheme="majorBidi"/>
          <w:color w:val="2F5496" w:themeColor="accent1" w:themeShade="BF"/>
          <w:sz w:val="32"/>
          <w:szCs w:val="32"/>
        </w:rPr>
      </w:pPr>
    </w:p>
    <w:sectPr w:rsidR="00B940DB" w:rsidRPr="00FF1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20F"/>
    <w:multiLevelType w:val="hybridMultilevel"/>
    <w:tmpl w:val="45588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66B698B"/>
    <w:multiLevelType w:val="hybridMultilevel"/>
    <w:tmpl w:val="708E58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054669">
    <w:abstractNumId w:val="1"/>
  </w:num>
  <w:num w:numId="2" w16cid:durableId="23378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20"/>
    <w:rsid w:val="000B3420"/>
    <w:rsid w:val="0029217D"/>
    <w:rsid w:val="00340B61"/>
    <w:rsid w:val="00847E38"/>
    <w:rsid w:val="009509D1"/>
    <w:rsid w:val="00B940DB"/>
    <w:rsid w:val="00FF1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537E"/>
  <w15:chartTrackingRefBased/>
  <w15:docId w15:val="{F677C46A-0362-4647-AB7C-0034368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3993</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Meijer</dc:creator>
  <cp:keywords/>
  <dc:description/>
  <cp:lastModifiedBy>Secretaris De Bron</cp:lastModifiedBy>
  <cp:revision>3</cp:revision>
  <dcterms:created xsi:type="dcterms:W3CDTF">2024-11-12T13:35:00Z</dcterms:created>
  <dcterms:modified xsi:type="dcterms:W3CDTF">2024-11-12T13:39:00Z</dcterms:modified>
</cp:coreProperties>
</file>